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Konzept und Plattformanschluss</w:t>
      </w:r>
    </w:p>
    <w:p>
      <w:pPr>
        <w:pStyle w:val="Subtitle"/>
      </w:pPr>
      <w:r>
        <w:t>Unterrichtsreihe für die 1. bis 4. Klasse der Sekundarstufe I</w:t>
      </w:r>
    </w:p>
    <w:p>
      <w:r>
        <w:t>Die Dachmarke Digitale Bildung verbindet Digitale Welten mit Digitaler Grundbildung. Die ausgearbeitete Unterrichtsreihe Digitale Grundbildung umfasst 24 lebensnahe Themen mit konkreten Bedienwegen, 120 Unterrichtseinheiten und 240 Teilaufgaben. Vier Arbeitshefte und vier Lehrpersonenhandbücher werden aus derselben strukturierten Inhaltsquelle erzeugt. Gedruckte Unterlagen und Plattformdaten verwenden identische Kennungen.</w:t>
      </w:r>
    </w:p>
    <w:p>
      <w:r>
        <w:t>Die Materialien sind für Mittelschule und AHS-Unterstufe angelegt. Spezifische sonderpädagogische Lehrpläne und individuelle Förderziele erfordern zusätzliche Anpassung. Die gezeigte Schulfassung nutzt den eigenen Laptop, Microsoft 365 im Browser und OneDrive. Windows 11 ist der dokumentierte Geräteweg. Andere Systeme erfordern entsprechende Menüanpassungen; neutrale Kontexte und Kompetenzziele bleiben übertragbar.</w:t>
      </w:r>
    </w:p>
    <w:tbl>
      <w:tblPr>
        <w:tblW w:type="auto" w:w="0"/>
        <w:jc w:val="center"/>
        <w:tblLayout w:type="fixed"/>
        <w:tblLook w:firstColumn="1" w:firstRow="1" w:lastColumn="0" w:lastRow="0" w:noHBand="0" w:noVBand="1" w:val="04A0"/>
      </w:tblPr>
      <w:tblGrid>
        <w:gridCol w:w="1020"/>
        <w:gridCol w:w="7143"/>
        <w:gridCol w:w="1701"/>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Klasse</w:t>
            </w:r>
          </w:p>
        </w:tc>
        <w:tc>
          <w:tcPr>
            <w:tcW w:type="dxa" w:w="714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Schwerpunkt</w:t>
            </w:r>
          </w:p>
        </w:tc>
        <w:tc>
          <w:tcPr>
            <w:tcW w:type="dxa" w:w="170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Umfang</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71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Passwort, Anmeldung, WebUntis, E-Mail, OneDrive; Suche, Daten, Algorithmen, Medien</w:t>
            </w:r>
          </w:p>
        </w:tc>
        <w:tc>
          <w:tcPr>
            <w:tcW w:type="dxa" w:w="170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6 × 5 UE</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71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Netzwerke, Datenanalyse, Schutz, Werbung, Publikation, Spiel</w:t>
            </w:r>
          </w:p>
        </w:tc>
        <w:tc>
          <w:tcPr>
            <w:tcW w:type="dxa" w:w="170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 × 5 UE</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71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Personalisierung, Datenkritik, Cloud, Identität, vernetzte Dinge, Quiz</w:t>
            </w:r>
          </w:p>
        </w:tc>
        <w:tc>
          <w:tcPr>
            <w:tcW w:type="dxa" w:w="170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6 × 5 UE</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71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Datenspuren, KI-Urteil, Sicherheitslabor, Anwendung, Redaktion, Beteiligung</w:t>
            </w:r>
          </w:p>
        </w:tc>
        <w:tc>
          <w:tcPr>
            <w:tcW w:type="dxa" w:w="170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 × 5 UE</w:t>
            </w:r>
          </w:p>
        </w:tc>
      </w:tr>
    </w:tbl>
    <w:p>
      <w:pPr>
        <w:spacing w:before="140"/>
      </w:pPr>
      <w:r>
        <w:t>Version 3.0 • Redaktionsstand 04.10.2026 • Überarbeitete Unterrichtsfassung; vor breitem Einsatz sind die Menüwege mit dem eigenen Schulkonto zu prüfen; außerdem empfiehlt sich eine Unterrichtserprobung, besonders für Zeitbedarf und Unterstützungsniveau.</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Verbindlicher Aufbau</w:t>
      </w:r>
    </w:p>
    <w:p>
      <w:pPr>
        <w:pStyle w:val="Heading2"/>
      </w:pPr>
      <w:r>
        <w:t>Arbeitshefte</w:t>
      </w:r>
    </w:p>
    <w:p>
      <w:r>
        <w:t>Jeder Themenstart enthält eine lebensnahe Einführung, verständliche Lernziele und einen konkreten ersten Versuch. Die praktische Arbeit ist Mittel zum Kompetenzerwerb. Ergebnisse, Erklärungen und Beobachtungen dienen als Nachweise. Ausstattung und Materialkarte sind vollständig enthalten. Danach folgen fünf bebilderte Anleitungen und fünf Arbeitsblätter, jeweils mit hartem Seitenumbruch. Jedes Blatt enthält zwei Teilaufgaben, Hilfe, Reflexion, Erweiterung und Rückmeldung. Die Materialkarte gehört beim Einzeldruck dazu.</w:t>
      </w:r>
    </w:p>
    <w:p>
      <w:pPr>
        <w:pStyle w:val="Heading2"/>
      </w:pPr>
      <w:r>
        <w:t>Lehrpersonenhandbücher</w:t>
      </w:r>
    </w:p>
    <w:p>
      <w:r>
        <w:t>Jedes Themenkapitel beginnt mit vollständigen Kompetenzformulierungen und einer Gegenüberstellung zu AB01-A bis AB05-B. Danach folgen Vorbereitung, konkrete Qualitätsmerkmale und Erwartungshorizonte. Am Ende steht eine jahrgangsweite Kompetenzabdeckung.</w:t>
      </w:r>
    </w:p>
    <w:p>
      <w:pPr>
        <w:pStyle w:val="Heading2"/>
      </w:pPr>
      <w:r>
        <w:t>Ein Ergebnis je Thema</w:t>
      </w:r>
    </w:p>
    <w:p>
      <w:r>
        <w:t>Notizen und Tests sind Lernnachweise im Prozess. Das fachliche Endprodukt wird einmal abgegeben; alternative barrierearme Formate werden vorab vereinbart. Mündliche oder praktische Leistungen werden zusätzlich beobachtet, nicht als weitere Produktpflicht gesammelt.</w:t>
      </w:r>
    </w:p>
    <w:p>
      <w:pPr>
        <w:pStyle w:val="Heading2"/>
      </w:pPr>
      <w:r>
        <w:t>Neutrale Durchführung</w:t>
      </w:r>
    </w:p>
    <w:p>
      <w:r>
        <w:t>Keine Schulgeschichte, festen Kalenderdaten, realen Profile oder privaten Konten. Kostenpflichtige Software ist nicht Voraussetzung. Schulen wählen geeignete freigegebene Werkzeuge und Abgabewege. Eigener Laptop; Partnerprüfung ermöglicht Arbeit bei begrenzter Gerätezahl.</w:t>
      </w:r>
    </w:p>
    <w:p>
      <w:pPr>
        <w:pStyle w:val="Heading2"/>
      </w:pPr>
      <w:r>
        <w:t>Zeit und Differenzierung</w:t>
      </w:r>
    </w:p>
    <w:p>
      <w:r>
        <w:t>30 UE je Klasse sind das Planungsmodell der Reihe. Für Diagnose, Nachholen praktischer Schritte und Vertiefung sind lokale Zeitreserven vorzusehen. Hilfen und Erweiterungen liegen im selben Aufgabenmodell vor. Papierwege ersetzen praktische Digitalkompetenzen nicht.</w:t>
      </w:r>
    </w:p>
    <w:p>
      <w:r>
        <w:br w:type="page"/>
      </w:r>
    </w:p>
    <w:p>
      <w:pPr>
        <w:pStyle w:val="Heading1"/>
      </w:pPr>
      <w:r>
        <w:t>Vierjährige Themenübersicht</w:t>
      </w:r>
    </w:p>
    <w:tbl>
      <w:tblPr>
        <w:tblW w:type="auto" w:w="0"/>
        <w:jc w:val="center"/>
        <w:tblLayout w:type="fixed"/>
        <w:tblLook w:firstColumn="1" w:firstRow="1" w:lastColumn="0" w:lastRow="0" w:noHBand="0" w:noVBand="1" w:val="04A0"/>
      </w:tblPr>
      <w:tblGrid>
        <w:gridCol w:w="1757"/>
        <w:gridCol w:w="3175"/>
        <w:gridCol w:w="4932"/>
      </w:tblGrid>
      <w:tr>
        <w:trPr>
          <w:cantSplit/>
          <w:tblHeader/>
        </w:trPr>
        <w:tc>
          <w:tcPr>
            <w:tcW w:type="dxa" w:w="1757"/>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Kennung</w:t>
            </w:r>
          </w:p>
        </w:tc>
        <w:tc>
          <w:tcPr>
            <w:tcW w:type="dxa" w:w="317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Thema</w:t>
            </w:r>
          </w:p>
        </w:tc>
        <w:tc>
          <w:tcPr>
            <w:tcW w:type="dxa" w:w="4932"/>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Endprodukt</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DGB-K1-P01</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Sicher starten mit deinem Laptop</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Mein Startpass: eine Word-Datei mit Gerätebild, Dateiweg und Hilfeplan; Passwort und Anmeldungen werden nur praktisch gezeigt.</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DGB-K1-P02</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E-Mail, Freigaben und Abgabe</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Meine Kommunikationskarte mit Mail-Check, Unterschied Anhang/Link und Abgabe-Nachweis; praktische E-Mail- und Freigabeschritte.</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DGB-K1-P03</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Suchen und Quellen prüfen</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Rechercheblatt als PDF mit Suchweg, Quellenvergleich und begründeter Antwort.</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DGB-K1-P04</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Daten erzählen eine Geschichte</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Datenposter als PDF mit Frage, Tabelle, Rechnung, Diagramm und Aussage.</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DGB-K1-P05</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Anleitungen die funktionieren</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Eine Algorithmuskarte als PDF mit Ablauf, Schleife und verbessertem Testbeispiel.</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DGB-K1-P06</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Medien früher heute und morgen</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Eine Präsentation mit vier Folien als PDF über Medienwandel und eine begründete Nutzungsentscheidung.</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DGB-K2-P01</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Die Reise einer Nachricht</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zweiminütiger Erklärpodcast als Audiodatei mit gesprochenem Quellen- und Urheberhinweis.</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DGB-K2-P02</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Daten unter der Lupe</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Eine einseitige Infografik als PDF mit Daten, Diagramm und Grenzen.</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DGB-K2-P03</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Mein digitaler Schutzplan</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zweiseitiger Schutzplan als PDF mit Fallprüfung und fünf konkreten Handlungen.</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DGB-K2-P04</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Werbung fair gestalten</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Informationsplakat als PDF für eine fiktive kostenlose Tauschaktion.</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DGB-K2-P05</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Wissen gemeinsam veröffentlichen</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geschützter digitaler Beitrag über ressourcenschonende Mediennutzung, alternativ eine PDF.</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DGB-K2-P06</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Spiel mit klaren Regeln</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spielbares Projekt in einer blockbasierten Entwicklungsumgebung.</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DGB-K3-P01</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Wer bestimmt meinen Feed</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dreiseitiger Mediencheck als PDF mit Recherche, Feedvergleich und begründeter Empfehlung.</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DGB-K3-P02</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Daten prüfen statt voreilig urteilen</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Datenbericht als PDF mit zwei Diagrammen, Prognose und Unsicherheiten.</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DGB-K3-P03</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Zusammenarbeiten in der Cloud</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gemeinsamer Leitfaden als PDF mit Cloudmodell, Rollenplan und Sicherheitsentscheidungen.</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DGB-K3-P04</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Digitale Identität bewusst gestalten</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persönlicher Schutzkompass als PDF anhand eines fiktiven Profils.</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DGB-K3-P05</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Vernetzte Dinge beurteilen</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Eine Entscheidungshilfe als PDF mit Systemskizze und begründetem Gerätevergleich.</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DGB-K3-P06</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barrierearmes Lernquiz</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lokal spielbares Lernquiz mit drei Fragen und verständlicher Rückmeldung.</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DGB-K4-P01</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Die App unter der Lupe</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Eine höchstens vierseitige App-Akte als PDF mit Befunden und Schutzentscheidungen.</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DGB-K4-P02</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KI im Entscheidungscheck</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Eine sechsminütige aufgezeichnete Anhörung als Audiodatei oder ein gleichwertiges schriftliches Dialogprotokoll.</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DGB-K4-P03</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Daten sicher übertragen und sichern</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höchstens vierseitiges Sicherheitslabor-Protokoll als PDF mit überprüften Praxisnachweisen.</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DGB-K4-P04</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Eine Anwendung für den Alltag</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Eine ausführbare Programmdatei oder ein Projektpaket mit integrierter Anleitung und Dokumentation.</w:t>
            </w:r>
          </w:p>
        </w:tc>
      </w:tr>
      <w:tr>
        <w:trPr>
          <w:cantSplit/>
        </w:trPr>
        <w:tc>
          <w:tcPr>
            <w:tcW w:type="dxa" w:w="1757"/>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DGB-K4-P05</w:t>
            </w:r>
          </w:p>
        </w:tc>
        <w:tc>
          <w:tcPr>
            <w:tcW w:type="dxa" w:w="317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Wirklichkeit wird gestaltet</w:t>
            </w:r>
          </w:p>
        </w:tc>
        <w:tc>
          <w:tcPr>
            <w:tcW w:type="dxa" w:w="493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 redaktionell überarbeiteter Beitrag mit Quellen und Änderungsvermerk als PDF oder geschützter Beitrag.</w:t>
            </w:r>
          </w:p>
        </w:tc>
      </w:tr>
      <w:tr>
        <w:trPr>
          <w:cantSplit/>
        </w:trPr>
        <w:tc>
          <w:tcPr>
            <w:tcW w:type="dxa" w:w="1757"/>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DGB-K4-P06</w:t>
            </w:r>
          </w:p>
        </w:tc>
        <w:tc>
          <w:tcPr>
            <w:tcW w:type="dxa" w:w="317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Digital mitentscheiden</w:t>
            </w:r>
          </w:p>
        </w:tc>
        <w:tc>
          <w:tcPr>
            <w:tcW w:type="dxa" w:w="493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digitales Beteiligungsdossier als PDF mit Fragestellung, Verfahren, Ergebnissen und Empfehlung.</w:t>
            </w:r>
          </w:p>
        </w:tc>
      </w:tr>
    </w:tbl>
    <w:p>
      <w:r>
        <w:br w:type="page"/>
      </w:r>
    </w:p>
    <w:p>
      <w:pPr>
        <w:pStyle w:val="Heading1"/>
      </w:pPr>
      <w:r>
        <w:t>Plattformdaten und Kennungen</w:t>
      </w:r>
    </w:p>
    <w:p>
      <w:r>
        <w:t>Beispiel: DGB-K2-P03-AB04-B bezeichnet Klasse 2, Thema 3, Arbeitsblatt 4, Teilaufgabe B. Kennungen bleiben bei Textkorrekturen stabil. Fassung 3.0 ordnet den Einstieg der ersten Klasse neu. Die vollständige Referenz ist immer Kennung plus Inhaltsversion; V2-Lernstände dürfen nicht automatisch auf V3 übertragen werden. Inhaltliche Neufassungen erhalten eine neue Version; beim Teilen oder Zusammenlegen von Aufgaben werden neue Kennungen und Migrationsverweise nötig.</w:t>
      </w:r>
    </w:p>
    <w:tbl>
      <w:tblPr>
        <w:tblW w:type="auto" w:w="0"/>
        <w:jc w:val="center"/>
        <w:tblLayout w:type="fixed"/>
        <w:tblLook w:firstColumn="1" w:firstRow="1" w:lastColumn="0" w:lastRow="0" w:noHBand="0" w:noVBand="1" w:val="04A0"/>
      </w:tblPr>
      <w:tblGrid>
        <w:gridCol w:w="3005"/>
        <w:gridCol w:w="6860"/>
      </w:tblGrid>
      <w:tr>
        <w:trPr>
          <w:cantSplit/>
          <w:tblHeader/>
        </w:trPr>
        <w:tc>
          <w:tcPr>
            <w:tcW w:type="dxa" w:w="300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Datei</w:t>
            </w:r>
          </w:p>
        </w:tc>
        <w:tc>
          <w:tcPr>
            <w:tcW w:type="dxa" w:w="686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Inhalt und Verwendung</w:t>
            </w:r>
          </w:p>
        </w:tc>
      </w:tr>
      <w:tr>
        <w:trPr>
          <w:cantSplit/>
        </w:trPr>
        <w:tc>
          <w:tcPr>
            <w:tcW w:type="dxa" w:w="300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plattform/lernende.json</w:t>
            </w:r>
          </w:p>
        </w:tc>
        <w:tc>
          <w:tcPr>
            <w:tcW w:type="dxa" w:w="686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Alle Themen, Materialkarten, Arbeitsaufträge, Hilfen, Reflexionen, Erweiterungen und Abgabeangaben. Keine Erwartungshorizonte.</w:t>
            </w:r>
          </w:p>
        </w:tc>
      </w:tr>
      <w:tr>
        <w:trPr>
          <w:cantSplit/>
        </w:trPr>
        <w:tc>
          <w:tcPr>
            <w:tcW w:type="dxa" w:w="300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plattform/lehrpersonen.json</w:t>
            </w:r>
          </w:p>
        </w:tc>
        <w:tc>
          <w:tcPr>
            <w:tcW w:type="dxa" w:w="686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Zu denselben Kennungen: Erwartungshorizonte, Beobachtungskriterien und Rückmelderaster. Nur serverseitig für autorisierte Lehrpersonen bereitstellen.</w:t>
            </w:r>
          </w:p>
        </w:tc>
      </w:tr>
      <w:tr>
        <w:trPr>
          <w:cantSplit/>
        </w:trPr>
        <w:tc>
          <w:tcPr>
            <w:tcW w:type="dxa" w:w="300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plattform/kompetenzen.json</w:t>
            </w:r>
          </w:p>
        </w:tc>
        <w:tc>
          <w:tcPr>
            <w:tcW w:type="dxa" w:w="686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Wortlaut, Bereich, Perspektive und Quellenstelle jeder der 72 Kompetenzbeschreibungen.</w:t>
            </w:r>
          </w:p>
        </w:tc>
      </w:tr>
      <w:tr>
        <w:trPr>
          <w:cantSplit/>
        </w:trPr>
        <w:tc>
          <w:tcPr>
            <w:tcW w:type="dxa" w:w="300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plattform/zuordnung.csv</w:t>
            </w:r>
          </w:p>
        </w:tc>
        <w:tc>
          <w:tcPr>
            <w:tcW w:type="dxa" w:w="686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Zeile pro Teilaufgabe und Kompetenz; geeignet für Import und Prüfung der Abdeckung.</w:t>
            </w:r>
          </w:p>
        </w:tc>
      </w:tr>
      <w:tr>
        <w:trPr>
          <w:cantSplit/>
        </w:trPr>
        <w:tc>
          <w:tcPr>
            <w:tcW w:type="dxa" w:w="300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plattform/schema_lernende.json</w:t>
            </w:r>
          </w:p>
        </w:tc>
        <w:tc>
          <w:tcPr>
            <w:tcW w:type="dxa" w:w="686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JSON Schema für das Lernendenpaket; die Dateien wurden dagegen validiert.</w:t>
            </w:r>
          </w:p>
        </w:tc>
      </w:tr>
      <w:tr>
        <w:trPr>
          <w:cantSplit/>
        </w:trPr>
        <w:tc>
          <w:tcPr>
            <w:tcW w:type="dxa" w:w="300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redaktion/</w:t>
            </w:r>
          </w:p>
        </w:tc>
        <w:tc>
          <w:tcPr>
            <w:tcW w:type="dxa" w:w="686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Inhaltsdaten und Erzeugungsskript als Ausgangspunkt für weitere Fassungen. Keine Lernendendaten enthalten.</w:t>
            </w:r>
          </w:p>
        </w:tc>
      </w:tr>
    </w:tbl>
    <w:p>
      <w:pPr>
        <w:spacing w:before="140"/>
      </w:pPr>
      <w:r>
        <w:t>Das Paket ist ein herstellerunabhängiges Inhaltsformat. Es ist noch kein Moodle-, H5P-, SCORM- oder xAPI-Importpaket. Sobald die Zielplattform feststeht, benötigt sie einen passenden Importadapter und einen Testlauf. Es wird keine fertige Integration behauptet.</w:t>
      </w:r>
    </w:p>
    <w:p>
      <w:r>
        <w:br w:type="page"/>
      </w:r>
    </w:p>
    <w:p>
      <w:pPr>
        <w:pStyle w:val="Heading1"/>
      </w:pPr>
      <w:r>
        <w:t>Interaktion und Fortschritt</w:t>
      </w:r>
    </w:p>
    <w:tbl>
      <w:tblPr>
        <w:tblW w:type="auto" w:w="0"/>
        <w:jc w:val="center"/>
        <w:tblLayout w:type="fixed"/>
        <w:tblLook w:firstColumn="1" w:firstRow="1" w:lastColumn="0" w:lastRow="0" w:noHBand="0" w:noVBand="1" w:val="04A0"/>
      </w:tblPr>
      <w:tblGrid>
        <w:gridCol w:w="1701"/>
        <w:gridCol w:w="4195"/>
        <w:gridCol w:w="3969"/>
      </w:tblGrid>
      <w:tr>
        <w:trPr>
          <w:cantSplit/>
          <w:tblHeader/>
        </w:trPr>
        <w:tc>
          <w:tcPr>
            <w:tcW w:type="dxa" w:w="170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Element</w:t>
            </w:r>
          </w:p>
        </w:tc>
        <w:tc>
          <w:tcPr>
            <w:tcW w:type="dxa" w:w="419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Interaktion</w:t>
            </w:r>
          </w:p>
        </w:tc>
        <w:tc>
          <w:tcPr>
            <w:tcW w:type="dxa" w:w="3969"/>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Bewertung</w:t>
            </w:r>
          </w:p>
        </w:tc>
      </w:tr>
      <w:tr>
        <w:trPr>
          <w:cantSplit/>
        </w:trPr>
        <w:tc>
          <w:tcPr>
            <w:tcW w:type="dxa" w:w="170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Teilaufgabe</w:t>
            </w:r>
          </w:p>
        </w:tc>
        <w:tc>
          <w:tcPr>
            <w:tcW w:type="dxa" w:w="419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Freitext bzw. praktische Vorführung mit kurzer Notiz; längere Skizzen als Datei möglich.</w:t>
            </w:r>
          </w:p>
        </w:tc>
        <w:tc>
          <w:tcPr>
            <w:tcW w:type="dxa" w:w="3969"/>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Lehrperson beurteilt fachlichen Nachweis.</w:t>
            </w:r>
          </w:p>
        </w:tc>
      </w:tr>
      <w:tr>
        <w:trPr>
          <w:cantSplit/>
        </w:trPr>
        <w:tc>
          <w:tcPr>
            <w:tcW w:type="dxa" w:w="170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Hilfe</w:t>
            </w:r>
          </w:p>
        </w:tc>
        <w:tc>
          <w:tcPr>
            <w:tcW w:type="dxa" w:w="419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Einblendbarer Hinweis; darf bei Bedarf ohne Punktabzug genutzt werden.</w:t>
            </w:r>
          </w:p>
        </w:tc>
        <w:tc>
          <w:tcPr>
            <w:tcW w:type="dxa" w:w="3969"/>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Keine automatische Leistungswertung.</w:t>
            </w:r>
          </w:p>
        </w:tc>
      </w:tr>
      <w:tr>
        <w:trPr>
          <w:cantSplit/>
        </w:trPr>
        <w:tc>
          <w:tcPr>
            <w:tcW w:type="dxa" w:w="170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Reflexion</w:t>
            </w:r>
          </w:p>
        </w:tc>
        <w:tc>
          <w:tcPr>
            <w:tcW w:type="dxa" w:w="419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Freitext oder mündliche Antwort; persönliche Inhalte können privat bleiben.</w:t>
            </w:r>
          </w:p>
        </w:tc>
        <w:tc>
          <w:tcPr>
            <w:tcW w:type="dxa" w:w="3969"/>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Rückmeldung, keine Offenlegungspflicht.</w:t>
            </w:r>
          </w:p>
        </w:tc>
      </w:tr>
      <w:tr>
        <w:trPr>
          <w:cantSplit/>
        </w:trPr>
        <w:tc>
          <w:tcPr>
            <w:tcW w:type="dxa" w:w="170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Erweiterung</w:t>
            </w:r>
          </w:p>
        </w:tc>
        <w:tc>
          <w:tcPr>
            <w:tcW w:type="dxa" w:w="419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Optional aktivierbare Vertiefung innerhalb des Themas.</w:t>
            </w:r>
          </w:p>
        </w:tc>
        <w:tc>
          <w:tcPr>
            <w:tcW w:type="dxa" w:w="3969"/>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Nicht für Pflichtfortschritt erforderlich.</w:t>
            </w:r>
          </w:p>
        </w:tc>
      </w:tr>
      <w:tr>
        <w:trPr>
          <w:cantSplit/>
        </w:trPr>
        <w:tc>
          <w:tcPr>
            <w:tcW w:type="dxa" w:w="170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Rückmeldung</w:t>
            </w:r>
          </w:p>
        </w:tc>
        <w:tc>
          <w:tcPr>
            <w:tcW w:type="dxa" w:w="419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Lehrperson beschreibt Beobachtungen und vereinbart den nächsten Lernschritt.</w:t>
            </w:r>
          </w:p>
        </w:tc>
        <w:tc>
          <w:tcPr>
            <w:tcW w:type="dxa" w:w="3969"/>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Explizites menschliches Urteil.</w:t>
            </w:r>
          </w:p>
        </w:tc>
      </w:tr>
      <w:tr>
        <w:trPr>
          <w:cantSplit/>
        </w:trPr>
        <w:tc>
          <w:tcPr>
            <w:tcW w:type="dxa" w:w="170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Endprodukt</w:t>
            </w:r>
          </w:p>
        </w:tc>
        <w:tc>
          <w:tcPr>
            <w:tcW w:type="dxa" w:w="419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Datei oder geschützter Link nach schulischer Vorgabe.</w:t>
            </w:r>
          </w:p>
        </w:tc>
        <w:tc>
          <w:tcPr>
            <w:tcW w:type="dxa" w:w="3969"/>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Kriterien des Themas plus individueller Nachweis.</w:t>
            </w:r>
          </w:p>
        </w:tc>
      </w:tr>
    </w:tbl>
    <w:p>
      <w:pPr>
        <w:spacing w:before="140"/>
      </w:pPr>
      <w:r>
        <w:t>Vorgesehene Zustände: nicht begonnen → in Arbeit → eingereicht → Rückmeldung nötig oder freigegeben. Nach Rückmeldung geht die Aufgabe wieder in Arbeit. Ein dokumentierter Kompetenznachweis beruht auf den vereinbarten praktischen Handlungen und individuellen Erklärungen. Ein Klick auf „fertig“ weist keine Kompetenz nach.</w:t>
      </w:r>
    </w:p>
    <w:p>
      <w:r>
        <w:t>Die Inhaltsdateien enthalten keine Konten oder Fortschrittsdaten. Eine Plattform speichert Lernfortschritt getrennt mit pseudonymer Lernendenkennung, Aufgabenkennung, Inhaltsversion, Status, Zeitpunkt und autorisierter Rückmeldung. Rohtexte und Dateien nur zweckgebunden speichern; Löschfristen und Zugriffe legt die Schule fest.</w:t>
      </w:r>
    </w:p>
    <w:p>
      <w:r>
        <w:br w:type="page"/>
      </w:r>
    </w:p>
    <w:p>
      <w:pPr>
        <w:pStyle w:val="Heading1"/>
      </w:pPr>
      <w:r>
        <w:t>Barrierearmut und technische Umsetzung</w:t>
      </w:r>
    </w:p>
    <w:p>
      <w:pPr>
        <w:pStyle w:val="Heading2"/>
      </w:pPr>
      <w:r>
        <w:t>Bedienbarkeit</w:t>
      </w:r>
    </w:p>
    <w:p>
      <w:r>
        <w:t>Semantische Überschriften, Tastaturbedienung, sichtbarer Fokus, programmatisch beschriftete Felder und klare Fehlermeldungen vorsehen. Bedeutung niemals allein über Farbe vermitteln. Zeitanzeigen dürfen keinen unnötigen Abgabedruck erzeugen.</w:t>
      </w:r>
    </w:p>
    <w:p>
      <w:pPr>
        <w:pStyle w:val="Heading2"/>
      </w:pPr>
      <w:r>
        <w:t>Alternative Darstellung</w:t>
      </w:r>
    </w:p>
    <w:p>
      <w:r>
        <w:t>Textversionen für Audio und Bildbeschreibungen vorsehen. Uploads müssen für assistive Bedienung erreichbar sein. Mündliche Antworten und Lehrpersonenbeobachtungen als gleichwertige Nachweiswege unterstützen, wenn das Kompetenzziel erhalten bleibt.</w:t>
      </w:r>
    </w:p>
    <w:p>
      <w:pPr>
        <w:pStyle w:val="Heading2"/>
      </w:pPr>
      <w:r>
        <w:t>Lösungen schützen</w:t>
      </w:r>
    </w:p>
    <w:p>
      <w:r>
        <w:t>Lehrpersonenpaket nicht in öffentlich ausgeliefertes JavaScript oder Lernenden-HTML einbetten. Sichtbarkeit muss durch Berechtigungen auf dem Server gesichert sein. Ausblenden im Browser ist keine Zugriffskontrolle.</w:t>
      </w:r>
    </w:p>
    <w:p>
      <w:pPr>
        <w:pStyle w:val="Heading2"/>
      </w:pPr>
      <w:r>
        <w:t>Offline und Export</w:t>
      </w:r>
    </w:p>
    <w:p>
      <w:r>
        <w:t>Materialkarte und Aufgaben zusammen als Druckpaket exportieren; jeden Arbeitsblattbeginn auf eine neue Seite setzen. Zwischenspeichern und kontrolliertes Wiederaufnehmen anbieten. Exportierte Schülerarbeiten dürfen keine fremden Kontodaten enthalten.</w:t>
      </w:r>
    </w:p>
    <w:p>
      <w:pPr>
        <w:pStyle w:val="Heading2"/>
      </w:pPr>
      <w:r>
        <w:t>Importprüfung</w:t>
      </w:r>
    </w:p>
    <w:p>
      <w:r>
        <w:t>Kennungen eindeutig halten; Kompetenzreferenzen prüfen; Versionen erhalten; Sonderzeichen korrekt als UTF-8 importieren. Aufgabenreihenfolge, Rückmeldungen, alternative Eingaben und Schutz der Lösungen in einer Testgruppe prüfen.</w:t>
      </w:r>
    </w:p>
    <w:p>
      <w:pPr>
        <w:pStyle w:val="Heading2"/>
      </w:pPr>
      <w:r>
        <w:t>Grenzen automatischer Bewertung</w:t>
      </w:r>
    </w:p>
    <w:p>
      <w:r>
        <w:t>Diese Fassung enthält offene und praktische Aufgaben sowie einen exportierbaren Lernpass im Browser-Tab. Es gibt keine automatisch bewerteten Quizfragen und keine vorgetäuschte KI-Kompetenzdiagnose. Spätere geschlossene Wissenschecks benötigen eigene Lösungen, Fehlerrückmeldungen und fachliche Prüfung.</w:t>
      </w:r>
    </w:p>
    <w:p>
      <w:r>
        <w:br w:type="page"/>
      </w:r>
    </w:p>
    <w:p>
      <w:pPr>
        <w:pStyle w:val="Heading1"/>
      </w:pPr>
      <w:r>
        <w:t>Quellen und redaktioneller Stand</w:t>
      </w:r>
    </w:p>
    <w:p>
      <w:r>
        <w:t>Lehrplangrundlage: BGBl. II Nr. 267/2022, Fachlehrplan Digitale Grundbildung, Kompetenzbeschreibungen 1. bis 4. Klasse. Die Kompetenzformulierungen stammen aus der bereitgestellten amtlichen Fassung (S. 4–10). Die aktuellen RIS-Fassungen für Mittelschule und AHS-Unterstufe wurden ergänzend herangezogen; Stand 02.10.2026.</w:t>
      </w:r>
    </w:p>
    <w:p>
      <w:r>
        <w:t>Mittelschule: https://www.ris.bka.gv.at/NormDokument.wxe?Abfrage=Bundesnormen&amp;Anlage=1&amp;Gesetzesnummer=20007850&amp;FassungVom=2026-10-02</w:t>
      </w:r>
    </w:p>
    <w:p>
      <w:r>
        <w:t>AHS-Unterstufe: https://www.ris.bka.gv.at/NormDokument.wxe?Abfrage=Bundesnormen&amp;Anlage=1&amp;Gesetzesnummer=10008568&amp;FassungVom=2026-10-02</w:t>
      </w:r>
    </w:p>
    <w:p>
      <w:r>
        <w:t>Die Kennungen 1O1 bis 4H4 sind interne Referenzen dieser Materialreihe, keine amtlichen Kompetenzcodes. O = Orientierung, I = Information, K = Kommunikation, P = Produktion, H = Handeln. T/G/I in der Kompetenzübersicht bezeichnet die technisch-mediale, gesellschaftlich-kulturelle bzw. interaktionsbezogene Perspektive.</w:t>
      </w:r>
    </w:p>
    <w:p>
      <w:r>
        <w:t>Rechtskarte: https://dsb.gv.at/rechte-pflichten/ihre-rechte-als-betroffene-person</w:t>
      </w:r>
    </w:p>
    <w:p>
      <w:r>
        <w:t>Das Paket enthält 72 interne Kompetenzreferenzen: 17 in Klasse 1, 18 in Klasse 2, 19 in Klasse 3 und 18 in Klasse 4. Alle sind mindestens einer Teilaufgabe zugeordnet. Dies ist ein Abdeckungsnachweis für die Planung, keine Garantie individueller Kompetenzbeherrschung.</w:t>
      </w:r>
    </w:p>
    <w:p>
      <w:r>
        <w:t>Für die nächste redaktionelle Fassung sind Rückmeldungen aus dem Unterricht besonders zu Zeitbedarf, sprachlicher Schwierigkeit, Hilfen und technischer Ausstattung sinnvoll. Die neutralen Beispiele dürfen durch lokale Beispiele ersetzt werden, solange Kompetenzziel, Teilaufgabennachweis und Rechteprüfung erhalten bleiben.</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0"/>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Konzept und Plattformanschluss</dc:title>
  <dc:subject>Unterrichtsreihe für die 1. bis 4. Klasse der Sekundarstufe I</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